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A7601" w14:textId="77777777" w:rsidR="00EA69EC" w:rsidRDefault="00EA69EC" w:rsidP="001128F6">
      <w:pPr>
        <w:pStyle w:val="1"/>
        <w:spacing w:line="292" w:lineRule="exact"/>
        <w:ind w:left="0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7B9455EA" w14:textId="1B4E3DED" w:rsidR="003C3C5C" w:rsidRPr="001F7618" w:rsidRDefault="003C3C5C" w:rsidP="001128F6">
      <w:pPr>
        <w:pStyle w:val="1"/>
        <w:spacing w:line="292" w:lineRule="exact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GoBack"/>
      <w:bookmarkEnd w:id="0"/>
      <w:r w:rsidRPr="001F7618">
        <w:rPr>
          <w:rFonts w:asciiTheme="minorHAnsi" w:hAnsiTheme="minorHAnsi" w:cstheme="minorHAnsi"/>
          <w:spacing w:val="-2"/>
          <w:sz w:val="22"/>
          <w:szCs w:val="22"/>
        </w:rPr>
        <w:t>ΒΙΒΛΙΟΓΡΑΦΙΑ</w:t>
      </w:r>
    </w:p>
    <w:p w14:paraId="3F3E3406" w14:textId="77777777" w:rsidR="00EA69EC" w:rsidRDefault="00EA69EC" w:rsidP="003C3C5C">
      <w:pPr>
        <w:pStyle w:val="a4"/>
        <w:jc w:val="both"/>
        <w:rPr>
          <w:lang w:val="en-US"/>
        </w:rPr>
      </w:pPr>
    </w:p>
    <w:p w14:paraId="04B0E434" w14:textId="5D7DD416" w:rsidR="003C3C5C" w:rsidRPr="001F7618" w:rsidRDefault="003C3C5C" w:rsidP="003C3C5C">
      <w:pPr>
        <w:pStyle w:val="a4"/>
        <w:jc w:val="both"/>
        <w:rPr>
          <w:lang w:val="en-US"/>
        </w:rPr>
      </w:pPr>
      <w:proofErr w:type="spellStart"/>
      <w:r w:rsidRPr="001F7618">
        <w:rPr>
          <w:lang w:val="en-US"/>
        </w:rPr>
        <w:t>Abrami</w:t>
      </w:r>
      <w:proofErr w:type="spellEnd"/>
      <w:r w:rsidRPr="001F7618">
        <w:rPr>
          <w:lang w:val="en-US"/>
        </w:rPr>
        <w:t xml:space="preserve">, C. P. &amp; Barrett, H. (2005). Directions for research and development on electronic portfolios. </w:t>
      </w:r>
      <w:r w:rsidRPr="001F7618">
        <w:rPr>
          <w:i/>
          <w:lang w:val="en-US"/>
        </w:rPr>
        <w:t>Canadian Journal of Learning and Technology</w:t>
      </w:r>
      <w:r w:rsidRPr="001F7618">
        <w:rPr>
          <w:lang w:val="en-US"/>
        </w:rPr>
        <w:t xml:space="preserve">, 31(3), online </w:t>
      </w:r>
      <w:r w:rsidRPr="001F7618">
        <w:rPr>
          <w:spacing w:val="-2"/>
          <w:lang w:val="en-US"/>
        </w:rPr>
        <w:t>version.</w:t>
      </w:r>
    </w:p>
    <w:p w14:paraId="112F4B7A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5E6F3DB7" w14:textId="77777777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lang w:val="en-US"/>
        </w:rPr>
        <w:t xml:space="preserve">Graven, M., </w:t>
      </w:r>
      <w:proofErr w:type="spellStart"/>
      <w:r w:rsidRPr="001F7618">
        <w:rPr>
          <w:lang w:val="en-US"/>
        </w:rPr>
        <w:t>Lerman</w:t>
      </w:r>
      <w:proofErr w:type="spellEnd"/>
      <w:r w:rsidRPr="001F7618">
        <w:rPr>
          <w:lang w:val="en-US"/>
        </w:rPr>
        <w:t>, S. Wenger, E. (1998). Communities of practice: Learning, meaning and identity. Journal of Mathematics Teacher Education 6, 185–194 (2003)</w:t>
      </w:r>
    </w:p>
    <w:p w14:paraId="6C9F90BC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408074C8" w14:textId="77777777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lang w:val="en-US"/>
        </w:rPr>
        <w:t xml:space="preserve">Johnson, L., Adams, S., and Cummins, M. (2012). </w:t>
      </w:r>
      <w:r w:rsidRPr="001F7618">
        <w:rPr>
          <w:i/>
          <w:lang w:val="en-US"/>
        </w:rPr>
        <w:t>NMC Horizon Report</w:t>
      </w:r>
      <w:r w:rsidRPr="001F7618">
        <w:rPr>
          <w:lang w:val="en-US"/>
        </w:rPr>
        <w:t>: 2012 K-12 Edition. Austin, Texas: The New Media Consortium</w:t>
      </w:r>
    </w:p>
    <w:p w14:paraId="1B0CF97F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5BCC32A2" w14:textId="77777777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lang w:val="en-US"/>
        </w:rPr>
        <w:t xml:space="preserve">OECD (2021), OECD </w:t>
      </w:r>
      <w:r w:rsidRPr="001F7618">
        <w:rPr>
          <w:i/>
          <w:lang w:val="en-US"/>
        </w:rPr>
        <w:t>Science, Technology, and Innovation Outlook 2021</w:t>
      </w:r>
      <w:r w:rsidRPr="001F7618">
        <w:rPr>
          <w:lang w:val="en-US"/>
        </w:rPr>
        <w:t>: Times of Crisis and Opportunity, OECD Publishing, Paris</w:t>
      </w:r>
    </w:p>
    <w:p w14:paraId="43BF6537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209ACC32" w14:textId="584AF207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lang w:val="en-US"/>
        </w:rPr>
        <w:t>Pollard,</w:t>
      </w:r>
      <w:r w:rsidRPr="003C3C5C">
        <w:rPr>
          <w:lang w:val="en-US"/>
        </w:rPr>
        <w:t xml:space="preserve"> </w:t>
      </w:r>
      <w:r w:rsidRPr="001F7618">
        <w:rPr>
          <w:lang w:val="en-US"/>
        </w:rPr>
        <w:t>A.,</w:t>
      </w:r>
      <w:r w:rsidRPr="003C3C5C">
        <w:rPr>
          <w:lang w:val="en-US"/>
        </w:rPr>
        <w:t xml:space="preserve"> </w:t>
      </w:r>
      <w:r w:rsidRPr="001F7618">
        <w:rPr>
          <w:lang w:val="en-US"/>
        </w:rPr>
        <w:t>(1997</w:t>
      </w:r>
      <w:proofErr w:type="gramStart"/>
      <w:r w:rsidRPr="001F7618">
        <w:rPr>
          <w:lang w:val="en-US"/>
        </w:rPr>
        <w:t>).</w:t>
      </w:r>
      <w:r w:rsidRPr="001F7618">
        <w:rPr>
          <w:i/>
          <w:lang w:val="en-US"/>
        </w:rPr>
        <w:t>Reflective</w:t>
      </w:r>
      <w:proofErr w:type="gramEnd"/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Teaching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in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the Primary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School.</w:t>
      </w:r>
      <w:r w:rsidRPr="003C3C5C">
        <w:rPr>
          <w:i/>
          <w:lang w:val="en-US"/>
        </w:rPr>
        <w:t xml:space="preserve"> </w:t>
      </w:r>
      <w:r w:rsidRPr="001F7618">
        <w:rPr>
          <w:lang w:val="en-US"/>
        </w:rPr>
        <w:t>London</w:t>
      </w:r>
      <w:r w:rsidRPr="001F7618">
        <w:rPr>
          <w:spacing w:val="-2"/>
          <w:lang w:val="en-US"/>
        </w:rPr>
        <w:t xml:space="preserve"> :Cassel</w:t>
      </w:r>
    </w:p>
    <w:p w14:paraId="6D984C24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06ADE0D7" w14:textId="5D8F29FF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lang w:val="en-US"/>
        </w:rPr>
        <w:t>Puckett,</w:t>
      </w:r>
      <w:r w:rsidRPr="003C3C5C">
        <w:rPr>
          <w:lang w:val="en-US"/>
        </w:rPr>
        <w:t xml:space="preserve"> </w:t>
      </w:r>
      <w:r w:rsidRPr="001F7618">
        <w:rPr>
          <w:lang w:val="en-US"/>
        </w:rPr>
        <w:t>Margaret</w:t>
      </w:r>
      <w:r w:rsidRPr="003C3C5C">
        <w:rPr>
          <w:lang w:val="en-US"/>
        </w:rPr>
        <w:t xml:space="preserve"> </w:t>
      </w:r>
      <w:r w:rsidRPr="001F7618">
        <w:rPr>
          <w:lang w:val="en-US"/>
        </w:rPr>
        <w:t>&amp;</w:t>
      </w:r>
      <w:r w:rsidRPr="003C3C5C">
        <w:rPr>
          <w:lang w:val="en-US"/>
        </w:rPr>
        <w:t xml:space="preserve"> </w:t>
      </w:r>
      <w:r w:rsidRPr="001F7618">
        <w:rPr>
          <w:lang w:val="en-US"/>
        </w:rPr>
        <w:t>Black,</w:t>
      </w:r>
      <w:r w:rsidRPr="003C3C5C">
        <w:rPr>
          <w:lang w:val="en-US"/>
        </w:rPr>
        <w:t xml:space="preserve"> </w:t>
      </w:r>
      <w:proofErr w:type="gramStart"/>
      <w:r w:rsidRPr="001F7618">
        <w:rPr>
          <w:lang w:val="en-US"/>
        </w:rPr>
        <w:t>Janet.(</w:t>
      </w:r>
      <w:proofErr w:type="gramEnd"/>
      <w:r w:rsidRPr="001F7618">
        <w:rPr>
          <w:lang w:val="en-US"/>
        </w:rPr>
        <w:t>2000).</w:t>
      </w:r>
      <w:proofErr w:type="spellStart"/>
      <w:r w:rsidRPr="001F7618">
        <w:rPr>
          <w:lang w:val="en-US"/>
        </w:rPr>
        <w:t>AuthenticAssessmentoftheYoung</w:t>
      </w:r>
      <w:r w:rsidRPr="001F7618">
        <w:rPr>
          <w:spacing w:val="-2"/>
          <w:lang w:val="en-US"/>
        </w:rPr>
        <w:t>Child</w:t>
      </w:r>
      <w:proofErr w:type="spellEnd"/>
      <w:r w:rsidRPr="001F7618">
        <w:rPr>
          <w:spacing w:val="-2"/>
          <w:lang w:val="en-US"/>
        </w:rPr>
        <w:t>:</w:t>
      </w:r>
    </w:p>
    <w:p w14:paraId="579750FA" w14:textId="2AB4A189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i/>
          <w:lang w:val="en-US"/>
        </w:rPr>
        <w:t>Celebrating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Development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and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Learning</w:t>
      </w:r>
      <w:r w:rsidRPr="001F7618">
        <w:rPr>
          <w:lang w:val="en-US"/>
        </w:rPr>
        <w:t>.</w:t>
      </w:r>
      <w:r w:rsidRPr="003C3C5C">
        <w:rPr>
          <w:lang w:val="en-US"/>
        </w:rPr>
        <w:t xml:space="preserve"> </w:t>
      </w:r>
      <w:r w:rsidRPr="001F7618">
        <w:rPr>
          <w:lang w:val="en-US"/>
        </w:rPr>
        <w:t>Second</w:t>
      </w:r>
      <w:r w:rsidRPr="001F7618">
        <w:rPr>
          <w:spacing w:val="-2"/>
          <w:lang w:val="en-US"/>
        </w:rPr>
        <w:t xml:space="preserve"> Edition.</w:t>
      </w:r>
    </w:p>
    <w:p w14:paraId="630A5B7D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1F64ADFE" w14:textId="77777777" w:rsidR="003C3C5C" w:rsidRPr="001F7618" w:rsidRDefault="003C3C5C" w:rsidP="003C3C5C">
      <w:pPr>
        <w:pStyle w:val="a4"/>
        <w:jc w:val="both"/>
        <w:rPr>
          <w:lang w:val="en-US"/>
        </w:rPr>
      </w:pPr>
      <w:r w:rsidRPr="001F7618">
        <w:rPr>
          <w:lang w:val="en-US"/>
        </w:rPr>
        <w:t xml:space="preserve">Spalding, E. &amp; Wilson, A. (2002). Demystifying Reflection: A Study of Pedagogical Strategies That Encourage Reflective Journal Writing, </w:t>
      </w:r>
      <w:r w:rsidRPr="001F7618">
        <w:rPr>
          <w:i/>
          <w:lang w:val="en-US"/>
        </w:rPr>
        <w:t>Teachers College Record</w:t>
      </w:r>
      <w:r w:rsidRPr="001F7618">
        <w:rPr>
          <w:lang w:val="en-US"/>
        </w:rPr>
        <w:t>, 104 (7), October 2002: 1393-1421.</w:t>
      </w:r>
    </w:p>
    <w:p w14:paraId="7473AC1B" w14:textId="77777777" w:rsidR="003C3C5C" w:rsidRPr="001F7618" w:rsidRDefault="003C3C5C" w:rsidP="003C3C5C">
      <w:pPr>
        <w:pStyle w:val="a4"/>
        <w:jc w:val="both"/>
        <w:rPr>
          <w:lang w:val="en-US"/>
        </w:rPr>
      </w:pPr>
    </w:p>
    <w:p w14:paraId="149E88EA" w14:textId="69A237A3" w:rsidR="003C3C5C" w:rsidRPr="001F7618" w:rsidRDefault="003C3C5C" w:rsidP="003C3C5C">
      <w:pPr>
        <w:pStyle w:val="a4"/>
        <w:jc w:val="both"/>
        <w:rPr>
          <w:lang w:val="en-US"/>
        </w:rPr>
      </w:pPr>
      <w:proofErr w:type="spellStart"/>
      <w:proofErr w:type="gramStart"/>
      <w:r w:rsidRPr="001F7618">
        <w:rPr>
          <w:lang w:val="en-US"/>
        </w:rPr>
        <w:t>Wegerif,R</w:t>
      </w:r>
      <w:proofErr w:type="spellEnd"/>
      <w:r w:rsidRPr="001F7618">
        <w:rPr>
          <w:lang w:val="en-US"/>
        </w:rPr>
        <w:t>.</w:t>
      </w:r>
      <w:proofErr w:type="gramEnd"/>
      <w:r w:rsidRPr="001F7618">
        <w:rPr>
          <w:lang w:val="en-US"/>
        </w:rPr>
        <w:t>(2012)</w:t>
      </w:r>
      <w:r w:rsidRPr="003C3C5C">
        <w:rPr>
          <w:lang w:val="en-US"/>
        </w:rPr>
        <w:t xml:space="preserve"> </w:t>
      </w:r>
      <w:r w:rsidRPr="001F7618">
        <w:rPr>
          <w:i/>
          <w:lang w:val="en-US"/>
        </w:rPr>
        <w:t>Dialogic:</w:t>
      </w:r>
      <w:r w:rsidRPr="003C3C5C">
        <w:rPr>
          <w:i/>
          <w:lang w:val="en-US"/>
        </w:rPr>
        <w:t xml:space="preserve"> </w:t>
      </w:r>
      <w:r w:rsidRPr="001F7618">
        <w:rPr>
          <w:i/>
          <w:lang w:val="en-US"/>
        </w:rPr>
        <w:t>Education</w:t>
      </w:r>
      <w:r w:rsidRPr="001A2073">
        <w:rPr>
          <w:i/>
          <w:lang w:val="en-US"/>
        </w:rPr>
        <w:t xml:space="preserve"> </w:t>
      </w:r>
      <w:r w:rsidRPr="001F7618">
        <w:rPr>
          <w:i/>
          <w:lang w:val="en-US"/>
        </w:rPr>
        <w:t>for</w:t>
      </w:r>
      <w:r w:rsidRPr="001A2073">
        <w:rPr>
          <w:i/>
          <w:lang w:val="en-US"/>
        </w:rPr>
        <w:t xml:space="preserve"> </w:t>
      </w:r>
      <w:r w:rsidRPr="001F7618">
        <w:rPr>
          <w:i/>
          <w:lang w:val="en-US"/>
        </w:rPr>
        <w:t>the</w:t>
      </w:r>
      <w:r w:rsidRPr="001A2073">
        <w:rPr>
          <w:i/>
          <w:lang w:val="en-US"/>
        </w:rPr>
        <w:t xml:space="preserve"> </w:t>
      </w:r>
      <w:r w:rsidRPr="001F7618">
        <w:rPr>
          <w:i/>
          <w:lang w:val="en-US"/>
        </w:rPr>
        <w:t>Internet Age</w:t>
      </w:r>
      <w:r w:rsidRPr="001F7618">
        <w:rPr>
          <w:lang w:val="en-US"/>
        </w:rPr>
        <w:t>.</w:t>
      </w:r>
      <w:r w:rsidRPr="001A2073">
        <w:rPr>
          <w:lang w:val="en-US"/>
        </w:rPr>
        <w:t xml:space="preserve"> </w:t>
      </w:r>
      <w:r w:rsidRPr="001F7618">
        <w:rPr>
          <w:lang w:val="en-US"/>
        </w:rPr>
        <w:t xml:space="preserve">London: </w:t>
      </w:r>
      <w:r w:rsidRPr="001F7618">
        <w:rPr>
          <w:spacing w:val="-2"/>
          <w:lang w:val="en-US"/>
        </w:rPr>
        <w:t>Routledge.</w:t>
      </w:r>
    </w:p>
    <w:p w14:paraId="6643F469" w14:textId="77777777" w:rsidR="00D83AC9" w:rsidRPr="003C3C5C" w:rsidRDefault="00D83AC9" w:rsidP="003C3C5C">
      <w:pPr>
        <w:pStyle w:val="a4"/>
        <w:jc w:val="both"/>
        <w:rPr>
          <w:lang w:val="en-US"/>
        </w:rPr>
      </w:pPr>
    </w:p>
    <w:sectPr w:rsidR="00D83AC9" w:rsidRPr="003C3C5C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ED573" w14:textId="77777777" w:rsidR="0019091A" w:rsidRDefault="0019091A" w:rsidP="003C3C5C">
      <w:r>
        <w:separator/>
      </w:r>
    </w:p>
  </w:endnote>
  <w:endnote w:type="continuationSeparator" w:id="0">
    <w:p w14:paraId="75D61259" w14:textId="77777777" w:rsidR="0019091A" w:rsidRDefault="0019091A" w:rsidP="003C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56F6C" w14:textId="08FED099" w:rsidR="003C3C5C" w:rsidRDefault="003C3C5C" w:rsidP="003C3C5C">
    <w:pPr>
      <w:pStyle w:val="a6"/>
      <w:jc w:val="center"/>
    </w:pPr>
    <w:r>
      <w:rPr>
        <w:noProof/>
        <w:lang w:eastAsia="el-GR"/>
      </w:rPr>
      <w:drawing>
        <wp:inline distT="0" distB="0" distL="0" distR="0" wp14:anchorId="2A8B246F" wp14:editId="3060B4A4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31098" w14:textId="77777777" w:rsidR="0019091A" w:rsidRDefault="0019091A" w:rsidP="003C3C5C">
      <w:r>
        <w:separator/>
      </w:r>
    </w:p>
  </w:footnote>
  <w:footnote w:type="continuationSeparator" w:id="0">
    <w:p w14:paraId="166D4053" w14:textId="77777777" w:rsidR="0019091A" w:rsidRDefault="0019091A" w:rsidP="003C3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F7D57" w14:textId="62A70BCC" w:rsidR="003C3C5C" w:rsidRDefault="003C3C5C" w:rsidP="003C3C5C">
    <w:pPr>
      <w:pStyle w:val="a5"/>
      <w:jc w:val="center"/>
    </w:pPr>
    <w:r>
      <w:rPr>
        <w:noProof/>
        <w:lang w:eastAsia="el-GR"/>
      </w:rPr>
      <w:drawing>
        <wp:inline distT="0" distB="0" distL="0" distR="0" wp14:anchorId="75886C9E" wp14:editId="4DD43FF9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C5C"/>
    <w:rsid w:val="001128F6"/>
    <w:rsid w:val="0019091A"/>
    <w:rsid w:val="003C3C5C"/>
    <w:rsid w:val="0091553E"/>
    <w:rsid w:val="00D83AC9"/>
    <w:rsid w:val="00EA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893E7"/>
  <w15:chartTrackingRefBased/>
  <w15:docId w15:val="{62D17340-D2EF-4C2E-B55C-9A702C1D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C3C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3C3C5C"/>
    <w:pPr>
      <w:ind w:left="5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3C3C5C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3C3C5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C3C5C"/>
    <w:rPr>
      <w:rFonts w:ascii="Calibri" w:eastAsia="Calibri" w:hAnsi="Calibri" w:cs="Calibri"/>
      <w:sz w:val="24"/>
      <w:szCs w:val="24"/>
    </w:rPr>
  </w:style>
  <w:style w:type="paragraph" w:styleId="a4">
    <w:name w:val="No Spacing"/>
    <w:uiPriority w:val="1"/>
    <w:qFormat/>
    <w:rsid w:val="003C3C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0"/>
    <w:uiPriority w:val="99"/>
    <w:unhideWhenUsed/>
    <w:rsid w:val="003C3C5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C3C5C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3C3C5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C3C5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914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2024-07-31T05:28:00Z</dcterms:created>
  <dcterms:modified xsi:type="dcterms:W3CDTF">2025-04-01T10:35:00Z</dcterms:modified>
</cp:coreProperties>
</file>